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D74B" w14:textId="77777777" w:rsidR="00092B46" w:rsidRDefault="00092B46" w:rsidP="00092B46">
      <w:pPr>
        <w:rPr>
          <w:rFonts w:ascii="Arial" w:hAnsi="Arial" w:cs="Arial"/>
          <w:sz w:val="22"/>
          <w:szCs w:val="22"/>
        </w:rPr>
      </w:pPr>
    </w:p>
    <w:p w14:paraId="0079D5AF" w14:textId="6BAE2059" w:rsidR="00092B46" w:rsidRPr="00F7211D" w:rsidRDefault="00092B46" w:rsidP="00092B46">
      <w:pPr>
        <w:rPr>
          <w:rFonts w:ascii="Arial" w:hAnsi="Arial" w:cs="Arial"/>
          <w:sz w:val="22"/>
          <w:szCs w:val="22"/>
        </w:rPr>
      </w:pPr>
      <w:r w:rsidRPr="00F7211D">
        <w:rPr>
          <w:rFonts w:ascii="Arial" w:hAnsi="Arial" w:cs="Arial"/>
          <w:sz w:val="22"/>
          <w:szCs w:val="22"/>
        </w:rPr>
        <w:t>At this organisation, we see AI as a tool to support our work. However, ownership and accountability will always remain with our staff members who use and double check the product generated by AI, e.g.</w:t>
      </w:r>
      <w:r>
        <w:rPr>
          <w:rFonts w:ascii="Arial" w:hAnsi="Arial" w:cs="Arial"/>
          <w:sz w:val="22"/>
          <w:szCs w:val="22"/>
        </w:rPr>
        <w:t>,</w:t>
      </w:r>
      <w:r w:rsidRPr="00F7211D">
        <w:rPr>
          <w:rFonts w:ascii="Arial" w:hAnsi="Arial" w:cs="Arial"/>
          <w:sz w:val="22"/>
          <w:szCs w:val="22"/>
        </w:rPr>
        <w:t xml:space="preserve"> the accuracy of a clinical note.</w:t>
      </w:r>
    </w:p>
    <w:p w14:paraId="5D074F19" w14:textId="77777777" w:rsidR="00092B46" w:rsidRPr="000B29C7" w:rsidRDefault="00092B46" w:rsidP="00092B46">
      <w:pPr>
        <w:pStyle w:val="NormalWeb"/>
        <w:spacing w:before="0" w:beforeAutospacing="0" w:after="0" w:afterAutospacing="0"/>
        <w:rPr>
          <w:rFonts w:ascii="Arial" w:hAnsi="Arial" w:cs="Arial"/>
          <w:sz w:val="22"/>
          <w:szCs w:val="22"/>
        </w:rPr>
      </w:pPr>
    </w:p>
    <w:p w14:paraId="7C725895" w14:textId="77777777" w:rsidR="00092B46" w:rsidRPr="000B29C7" w:rsidRDefault="00092B46" w:rsidP="00092B46">
      <w:pPr>
        <w:spacing w:line="259" w:lineRule="auto"/>
        <w:rPr>
          <w:rFonts w:ascii="Arial" w:hAnsi="Arial" w:cs="Arial"/>
          <w:b/>
          <w:bCs/>
          <w:sz w:val="22"/>
          <w:szCs w:val="22"/>
        </w:rPr>
      </w:pPr>
      <w:r w:rsidRPr="000B29C7">
        <w:rPr>
          <w:rFonts w:ascii="Arial" w:hAnsi="Arial" w:cs="Arial"/>
          <w:b/>
          <w:bCs/>
          <w:sz w:val="22"/>
          <w:szCs w:val="22"/>
        </w:rPr>
        <w:t>We are required by law to provide you with the following information about how we handle your information:</w:t>
      </w:r>
    </w:p>
    <w:p w14:paraId="49BD4404" w14:textId="77777777" w:rsidR="00092B46" w:rsidRPr="000B29C7" w:rsidRDefault="00092B46" w:rsidP="00092B46">
      <w:pPr>
        <w:spacing w:line="259" w:lineRule="auto"/>
        <w:rPr>
          <w:rFonts w:ascii="Arial" w:eastAsia="Arial" w:hAnsi="Arial" w:cs="Arial"/>
          <w:b/>
          <w:sz w:val="22"/>
          <w:szCs w:val="22"/>
        </w:rPr>
      </w:pPr>
    </w:p>
    <w:tbl>
      <w:tblPr>
        <w:tblW w:w="13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1808"/>
      </w:tblGrid>
      <w:tr w:rsidR="00092B46" w:rsidRPr="000B29C7" w14:paraId="4AFE30E0" w14:textId="77777777" w:rsidTr="00AF6CA8">
        <w:tc>
          <w:tcPr>
            <w:tcW w:w="2127" w:type="dxa"/>
          </w:tcPr>
          <w:p w14:paraId="7CE718E7" w14:textId="77777777" w:rsidR="00092B46" w:rsidRPr="000B29C7" w:rsidRDefault="00092B46" w:rsidP="00AF6CA8">
            <w:pPr>
              <w:snapToGrid w:val="0"/>
              <w:rPr>
                <w:rFonts w:ascii="Arial" w:eastAsia="Arial" w:hAnsi="Arial" w:cs="Arial"/>
                <w:b/>
                <w:color w:val="000000"/>
                <w:sz w:val="22"/>
                <w:szCs w:val="22"/>
              </w:rPr>
            </w:pPr>
            <w:r w:rsidRPr="000B29C7">
              <w:rPr>
                <w:rFonts w:ascii="Arial" w:eastAsia="Arial" w:hAnsi="Arial" w:cs="Arial"/>
                <w:b/>
                <w:color w:val="000000"/>
                <w:sz w:val="22"/>
                <w:szCs w:val="22"/>
              </w:rPr>
              <w:t xml:space="preserve">Data Controller </w:t>
            </w:r>
          </w:p>
        </w:tc>
        <w:tc>
          <w:tcPr>
            <w:tcW w:w="11808" w:type="dxa"/>
          </w:tcPr>
          <w:p w14:paraId="48B352C0" w14:textId="0F01DB0B" w:rsidR="00092B46" w:rsidRPr="000B29C7" w:rsidRDefault="00092B46" w:rsidP="00AF6CA8">
            <w:pPr>
              <w:snapToGrid w:val="0"/>
              <w:rPr>
                <w:rFonts w:ascii="Arial" w:eastAsia="Arial" w:hAnsi="Arial" w:cs="Arial"/>
                <w:sz w:val="22"/>
                <w:szCs w:val="22"/>
              </w:rPr>
            </w:pPr>
            <w:r>
              <w:rPr>
                <w:rFonts w:ascii="Arial" w:eastAsia="Arial" w:hAnsi="Arial" w:cs="Arial"/>
                <w:sz w:val="22"/>
                <w:szCs w:val="22"/>
              </w:rPr>
              <w:t>Odiham and Old Basing Health Centre</w:t>
            </w:r>
          </w:p>
          <w:p w14:paraId="227A5AE8" w14:textId="77777777" w:rsidR="00092B46" w:rsidRPr="000B29C7" w:rsidRDefault="00092B46" w:rsidP="00AF6CA8">
            <w:pPr>
              <w:snapToGrid w:val="0"/>
              <w:rPr>
                <w:rFonts w:ascii="Arial" w:eastAsia="Arial" w:hAnsi="Arial" w:cs="Arial"/>
                <w:sz w:val="22"/>
                <w:szCs w:val="22"/>
              </w:rPr>
            </w:pPr>
          </w:p>
        </w:tc>
      </w:tr>
      <w:tr w:rsidR="00092B46" w:rsidRPr="000B29C7" w14:paraId="19FB5FA8" w14:textId="77777777" w:rsidTr="00AF6CA8">
        <w:tc>
          <w:tcPr>
            <w:tcW w:w="2127" w:type="dxa"/>
            <w:tcBorders>
              <w:bottom w:val="single" w:sz="4" w:space="0" w:color="000000"/>
            </w:tcBorders>
          </w:tcPr>
          <w:p w14:paraId="14A5DCDE" w14:textId="77777777" w:rsidR="00092B46" w:rsidRPr="00F7211D" w:rsidRDefault="00092B46" w:rsidP="00AF6CA8">
            <w:pPr>
              <w:snapToGrid w:val="0"/>
              <w:rPr>
                <w:rFonts w:ascii="Arial" w:eastAsia="Arial" w:hAnsi="Arial" w:cs="Arial"/>
                <w:b/>
                <w:color w:val="000000"/>
                <w:sz w:val="22"/>
                <w:szCs w:val="22"/>
              </w:rPr>
            </w:pPr>
            <w:r w:rsidRPr="000B29C7">
              <w:rPr>
                <w:rFonts w:ascii="Arial" w:eastAsia="Arial" w:hAnsi="Arial" w:cs="Arial"/>
                <w:b/>
                <w:color w:val="000000"/>
                <w:sz w:val="22"/>
                <w:szCs w:val="22"/>
              </w:rPr>
              <w:t xml:space="preserve">Data Protection Officer </w:t>
            </w:r>
          </w:p>
        </w:tc>
        <w:tc>
          <w:tcPr>
            <w:tcW w:w="11808" w:type="dxa"/>
            <w:tcBorders>
              <w:bottom w:val="single" w:sz="4" w:space="0" w:color="000000"/>
            </w:tcBorders>
          </w:tcPr>
          <w:p w14:paraId="3A16DBCF" w14:textId="77777777" w:rsidR="00092B46" w:rsidRPr="000B29C7" w:rsidRDefault="00092B46" w:rsidP="00AF6CA8">
            <w:pPr>
              <w:snapToGrid w:val="0"/>
              <w:rPr>
                <w:rFonts w:ascii="Arial" w:eastAsia="Arial" w:hAnsi="Arial" w:cs="Arial"/>
                <w:sz w:val="22"/>
                <w:szCs w:val="22"/>
              </w:rPr>
            </w:pPr>
            <w:r>
              <w:rPr>
                <w:rFonts w:ascii="Arial" w:eastAsia="Arial" w:hAnsi="Arial" w:cs="Arial"/>
                <w:sz w:val="22"/>
                <w:szCs w:val="22"/>
              </w:rPr>
              <w:t xml:space="preserve">Caroline Sims, Data Protection Officer, Primary Care IG Consultant, </w:t>
            </w:r>
            <w:r w:rsidRPr="00132F52">
              <w:rPr>
                <w:rFonts w:ascii="Arial" w:eastAsia="Arial" w:hAnsi="Arial" w:cs="Arial"/>
                <w:sz w:val="22"/>
                <w:szCs w:val="22"/>
              </w:rPr>
              <w:t>caroline.sims5@nhs.net</w:t>
            </w:r>
          </w:p>
        </w:tc>
      </w:tr>
      <w:tr w:rsidR="00092B46" w:rsidRPr="000B29C7" w14:paraId="0C0A6CAB" w14:textId="77777777" w:rsidTr="00AF6CA8">
        <w:tc>
          <w:tcPr>
            <w:tcW w:w="2127" w:type="dxa"/>
            <w:tcBorders>
              <w:bottom w:val="single" w:sz="4" w:space="0" w:color="auto"/>
            </w:tcBorders>
          </w:tcPr>
          <w:p w14:paraId="5B916022" w14:textId="77777777" w:rsidR="00092B46" w:rsidRPr="00F7211D" w:rsidRDefault="00092B46" w:rsidP="00AF6CA8">
            <w:pPr>
              <w:snapToGrid w:val="0"/>
              <w:rPr>
                <w:rFonts w:ascii="Arial" w:eastAsia="Arial" w:hAnsi="Arial" w:cs="Arial"/>
                <w:b/>
                <w:sz w:val="22"/>
                <w:szCs w:val="22"/>
              </w:rPr>
            </w:pPr>
            <w:r w:rsidRPr="000B29C7">
              <w:rPr>
                <w:rFonts w:ascii="Arial" w:eastAsia="Arial" w:hAnsi="Arial" w:cs="Arial"/>
                <w:b/>
                <w:color w:val="000000"/>
                <w:sz w:val="22"/>
                <w:szCs w:val="22"/>
              </w:rPr>
              <w:t>Purpose</w:t>
            </w:r>
            <w:r w:rsidRPr="00F7211D">
              <w:rPr>
                <w:rFonts w:ascii="Arial" w:eastAsia="Arial" w:hAnsi="Arial" w:cs="Arial"/>
                <w:b/>
                <w:color w:val="000000"/>
                <w:sz w:val="22"/>
                <w:szCs w:val="22"/>
              </w:rPr>
              <w:t xml:space="preserve"> of the processing</w:t>
            </w:r>
          </w:p>
        </w:tc>
        <w:tc>
          <w:tcPr>
            <w:tcW w:w="11808" w:type="dxa"/>
            <w:tcBorders>
              <w:bottom w:val="single" w:sz="4" w:space="0" w:color="auto"/>
            </w:tcBorders>
          </w:tcPr>
          <w:p w14:paraId="7321E9B7"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In support of direct health or social care to individual patients. </w:t>
            </w:r>
          </w:p>
          <w:p w14:paraId="77100ADC"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p>
          <w:p w14:paraId="3D7DA404" w14:textId="77777777" w:rsidR="00092B46" w:rsidRPr="000B29C7" w:rsidRDefault="00092B46" w:rsidP="00AF6CA8">
            <w:pPr>
              <w:rPr>
                <w:rFonts w:ascii="Arial" w:hAnsi="Arial" w:cs="Arial"/>
                <w:sz w:val="22"/>
                <w:szCs w:val="22"/>
              </w:rPr>
            </w:pPr>
            <w:r w:rsidRPr="000B29C7">
              <w:rPr>
                <w:rFonts w:ascii="Arial" w:hAnsi="Arial" w:cs="Arial"/>
                <w:sz w:val="22"/>
                <w:szCs w:val="22"/>
              </w:rPr>
              <w:t xml:space="preserve">The main types of personal data that will be processed during a consultation or multi-disciplinary meeting would be the patient’s name, contact details, medical history, diagnosis, treatment information, and any other information shared during consultations or the meeting. </w:t>
            </w:r>
          </w:p>
          <w:p w14:paraId="1809FE4E" w14:textId="77777777" w:rsidR="00092B46" w:rsidRPr="000B29C7" w:rsidRDefault="00092B46" w:rsidP="00AF6CA8">
            <w:pPr>
              <w:rPr>
                <w:rFonts w:ascii="Arial" w:hAnsi="Arial" w:cs="Arial"/>
                <w:sz w:val="22"/>
                <w:szCs w:val="22"/>
              </w:rPr>
            </w:pPr>
          </w:p>
          <w:p w14:paraId="526DA970" w14:textId="77777777" w:rsidR="00092B46" w:rsidRPr="000B29C7" w:rsidRDefault="00092B46" w:rsidP="00AF6CA8">
            <w:pPr>
              <w:rPr>
                <w:rFonts w:ascii="Arial" w:hAnsi="Arial" w:cs="Arial"/>
                <w:sz w:val="22"/>
                <w:szCs w:val="22"/>
              </w:rPr>
            </w:pPr>
            <w:r w:rsidRPr="000B29C7">
              <w:rPr>
                <w:rFonts w:ascii="Arial" w:hAnsi="Arial" w:cs="Arial"/>
                <w:sz w:val="22"/>
                <w:szCs w:val="22"/>
              </w:rPr>
              <w:t xml:space="preserve">This may also include an audio recording of the clinician(s), although this is to detail their professional identifiers such as name and title. </w:t>
            </w:r>
          </w:p>
          <w:p w14:paraId="540A02E1"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p>
          <w:p w14:paraId="1F1D5FBC"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To check and review the quality of the AI use</w:t>
            </w:r>
            <w:r>
              <w:rPr>
                <w:rFonts w:ascii="Arial" w:eastAsia="Arial" w:hAnsi="Arial" w:cs="Arial"/>
                <w:color w:val="000000"/>
                <w:sz w:val="22"/>
                <w:szCs w:val="22"/>
              </w:rPr>
              <w:t xml:space="preserve"> which is</w:t>
            </w:r>
            <w:r w:rsidRPr="000B29C7">
              <w:rPr>
                <w:rFonts w:ascii="Arial" w:eastAsia="Arial" w:hAnsi="Arial" w:cs="Arial"/>
                <w:color w:val="000000"/>
                <w:sz w:val="22"/>
                <w:szCs w:val="22"/>
              </w:rPr>
              <w:t xml:space="preserve"> called audit and clinical governance.</w:t>
            </w:r>
          </w:p>
          <w:p w14:paraId="44EE7BA6" w14:textId="77777777" w:rsidR="00092B46" w:rsidRPr="000B29C7" w:rsidRDefault="00092B46" w:rsidP="00AF6CA8">
            <w:pPr>
              <w:pBdr>
                <w:top w:val="nil"/>
                <w:left w:val="nil"/>
                <w:bottom w:val="nil"/>
                <w:right w:val="nil"/>
                <w:between w:val="nil"/>
              </w:pBdr>
              <w:snapToGrid w:val="0"/>
              <w:rPr>
                <w:rFonts w:ascii="Arial" w:eastAsia="Arial" w:hAnsi="Arial" w:cs="Arial"/>
                <w:color w:val="000000"/>
              </w:rPr>
            </w:pPr>
          </w:p>
        </w:tc>
      </w:tr>
      <w:tr w:rsidR="00092B46" w:rsidRPr="000B29C7" w14:paraId="77426687" w14:textId="77777777" w:rsidTr="00AF6CA8">
        <w:tc>
          <w:tcPr>
            <w:tcW w:w="2127" w:type="dxa"/>
            <w:tcBorders>
              <w:top w:val="single" w:sz="4" w:space="0" w:color="auto"/>
              <w:bottom w:val="single" w:sz="4" w:space="0" w:color="auto"/>
            </w:tcBorders>
          </w:tcPr>
          <w:p w14:paraId="06F79C0A" w14:textId="77777777" w:rsidR="00092B46" w:rsidRPr="00F7211D" w:rsidRDefault="00092B46" w:rsidP="00AF6CA8">
            <w:pPr>
              <w:snapToGrid w:val="0"/>
              <w:rPr>
                <w:rFonts w:ascii="Arial" w:eastAsia="Arial" w:hAnsi="Arial" w:cs="Arial"/>
                <w:b/>
                <w:sz w:val="22"/>
                <w:szCs w:val="22"/>
              </w:rPr>
            </w:pPr>
            <w:r w:rsidRPr="000B29C7">
              <w:rPr>
                <w:rFonts w:ascii="Arial" w:eastAsia="Arial" w:hAnsi="Arial" w:cs="Arial"/>
                <w:b/>
                <w:color w:val="000000"/>
                <w:sz w:val="22"/>
                <w:szCs w:val="22"/>
              </w:rPr>
              <w:t>Lawful basis</w:t>
            </w:r>
            <w:r w:rsidRPr="00F7211D">
              <w:rPr>
                <w:rFonts w:ascii="Arial" w:eastAsia="Arial" w:hAnsi="Arial" w:cs="Arial"/>
                <w:b/>
                <w:color w:val="000000"/>
                <w:sz w:val="22"/>
                <w:szCs w:val="22"/>
              </w:rPr>
              <w:t xml:space="preserve"> for processing</w:t>
            </w:r>
          </w:p>
        </w:tc>
        <w:tc>
          <w:tcPr>
            <w:tcW w:w="11808" w:type="dxa"/>
            <w:tcBorders>
              <w:top w:val="single" w:sz="4" w:space="0" w:color="auto"/>
              <w:bottom w:val="single" w:sz="4" w:space="0" w:color="auto"/>
            </w:tcBorders>
          </w:tcPr>
          <w:p w14:paraId="6429DCC9" w14:textId="77777777" w:rsidR="00092B46" w:rsidRPr="00F7211D" w:rsidRDefault="00092B46" w:rsidP="00AF6CA8">
            <w:pPr>
              <w:snapToGrid w:val="0"/>
              <w:rPr>
                <w:rFonts w:ascii="Arial" w:eastAsia="Arial" w:hAnsi="Arial" w:cs="Arial"/>
                <w:color w:val="000000" w:themeColor="text1"/>
                <w:sz w:val="22"/>
                <w:szCs w:val="22"/>
              </w:rPr>
            </w:pPr>
            <w:r w:rsidRPr="00F7211D">
              <w:rPr>
                <w:rFonts w:ascii="Arial" w:eastAsia="Arial" w:hAnsi="Arial" w:cs="Arial"/>
                <w:color w:val="000000" w:themeColor="text1"/>
                <w:sz w:val="22"/>
                <w:szCs w:val="22"/>
              </w:rPr>
              <w:t>These purposes are supported under the following sections of the GDPR:</w:t>
            </w:r>
          </w:p>
          <w:p w14:paraId="3507EADB" w14:textId="77777777" w:rsidR="00092B46" w:rsidRPr="00F7211D" w:rsidRDefault="00092B46" w:rsidP="00AF6CA8">
            <w:pPr>
              <w:snapToGrid w:val="0"/>
              <w:rPr>
                <w:rFonts w:ascii="Arial" w:eastAsia="Arial" w:hAnsi="Arial" w:cs="Arial"/>
                <w:color w:val="000000" w:themeColor="text1"/>
                <w:sz w:val="22"/>
                <w:szCs w:val="22"/>
              </w:rPr>
            </w:pPr>
          </w:p>
          <w:p w14:paraId="0BC99340" w14:textId="77777777" w:rsidR="00092B46" w:rsidRPr="00F7211D" w:rsidRDefault="00092B46" w:rsidP="00AF6CA8">
            <w:pPr>
              <w:snapToGrid w:val="0"/>
              <w:rPr>
                <w:rFonts w:ascii="Arial" w:eastAsia="Arial" w:hAnsi="Arial" w:cs="Arial"/>
                <w:i/>
                <w:color w:val="000000" w:themeColor="text1"/>
                <w:sz w:val="22"/>
                <w:szCs w:val="22"/>
              </w:rPr>
            </w:pPr>
            <w:r w:rsidRPr="00F7211D">
              <w:rPr>
                <w:rFonts w:ascii="Arial" w:eastAsia="Arial" w:hAnsi="Arial" w:cs="Arial"/>
                <w:b/>
                <w:i/>
                <w:color w:val="000000" w:themeColor="text1"/>
                <w:sz w:val="22"/>
                <w:szCs w:val="22"/>
              </w:rPr>
              <w:t>Article 6(1)(c)</w:t>
            </w:r>
            <w:r w:rsidRPr="00F7211D">
              <w:rPr>
                <w:rFonts w:ascii="Arial" w:eastAsia="Arial" w:hAnsi="Arial" w:cs="Arial"/>
                <w:i/>
                <w:color w:val="000000" w:themeColor="text1"/>
                <w:sz w:val="22"/>
                <w:szCs w:val="22"/>
              </w:rPr>
              <w:t xml:space="preserve"> ‘processing is necessary for compliance with a legal obligation’</w:t>
            </w:r>
          </w:p>
          <w:p w14:paraId="4F22C0DC" w14:textId="77777777" w:rsidR="00092B46" w:rsidRPr="00F7211D" w:rsidRDefault="00092B46" w:rsidP="00AF6CA8">
            <w:pPr>
              <w:snapToGrid w:val="0"/>
              <w:rPr>
                <w:rFonts w:ascii="Arial" w:eastAsia="Arial" w:hAnsi="Arial" w:cs="Arial"/>
                <w:i/>
                <w:color w:val="000000" w:themeColor="text1"/>
                <w:sz w:val="22"/>
                <w:szCs w:val="22"/>
              </w:rPr>
            </w:pPr>
          </w:p>
          <w:p w14:paraId="034DA41F" w14:textId="77777777" w:rsidR="00092B46" w:rsidRDefault="00092B46" w:rsidP="00AF6CA8">
            <w:pPr>
              <w:snapToGrid w:val="0"/>
              <w:rPr>
                <w:rFonts w:ascii="Arial" w:eastAsia="Arial" w:hAnsi="Arial" w:cs="Arial"/>
                <w:bCs/>
                <w:i/>
                <w:color w:val="000000" w:themeColor="text1"/>
                <w:sz w:val="22"/>
                <w:szCs w:val="22"/>
              </w:rPr>
            </w:pPr>
            <w:r w:rsidRPr="00F7211D">
              <w:rPr>
                <w:rFonts w:ascii="Arial" w:hAnsi="Arial" w:cs="Arial"/>
                <w:b/>
                <w:bCs/>
                <w:color w:val="000000" w:themeColor="text1"/>
                <w:sz w:val="22"/>
                <w:szCs w:val="22"/>
              </w:rPr>
              <w:t>Article 6(1)(e)</w:t>
            </w:r>
            <w:r w:rsidRPr="00F7211D">
              <w:rPr>
                <w:rFonts w:ascii="Arial" w:hAnsi="Arial" w:cs="Arial"/>
                <w:color w:val="000000" w:themeColor="text1"/>
                <w:sz w:val="22"/>
                <w:szCs w:val="22"/>
              </w:rPr>
              <w:t xml:space="preserve"> ‘</w:t>
            </w:r>
            <w:r w:rsidRPr="00F7211D">
              <w:rPr>
                <w:rFonts w:ascii="Arial" w:eastAsia="Arial" w:hAnsi="Arial" w:cs="Arial"/>
                <w:bCs/>
                <w:i/>
                <w:color w:val="000000" w:themeColor="text1"/>
                <w:sz w:val="22"/>
                <w:szCs w:val="22"/>
              </w:rPr>
              <w:t>processing is necessary for the performance of a task carried out in the public interest or in the exercise of official authority vested in the controller’</w:t>
            </w:r>
          </w:p>
          <w:p w14:paraId="549DF7D3" w14:textId="77777777" w:rsidR="00092B46" w:rsidRPr="00F7211D" w:rsidRDefault="00092B46" w:rsidP="00AF6CA8">
            <w:pPr>
              <w:snapToGrid w:val="0"/>
              <w:rPr>
                <w:rFonts w:ascii="Arial" w:eastAsia="Arial" w:hAnsi="Arial" w:cs="Arial"/>
                <w:i/>
                <w:color w:val="000000" w:themeColor="text1"/>
                <w:sz w:val="22"/>
                <w:szCs w:val="22"/>
              </w:rPr>
            </w:pPr>
          </w:p>
          <w:p w14:paraId="4B394D32" w14:textId="77777777" w:rsidR="00092B46" w:rsidRPr="00D11348" w:rsidRDefault="00092B46" w:rsidP="00AF6CA8">
            <w:pPr>
              <w:snapToGrid w:val="0"/>
              <w:rPr>
                <w:rFonts w:ascii="Arial" w:eastAsia="Arial" w:hAnsi="Arial" w:cs="Arial"/>
                <w:iCs/>
                <w:color w:val="000000" w:themeColor="text1"/>
                <w:sz w:val="22"/>
                <w:szCs w:val="22"/>
              </w:rPr>
            </w:pPr>
            <w:r w:rsidRPr="00D11348">
              <w:rPr>
                <w:rFonts w:ascii="Arial" w:eastAsia="Arial" w:hAnsi="Arial" w:cs="Arial"/>
                <w:iCs/>
                <w:color w:val="000000" w:themeColor="text1"/>
                <w:sz w:val="22"/>
                <w:szCs w:val="22"/>
              </w:rPr>
              <w:t xml:space="preserve">Should information be gathered by AI for medical research purposes, then </w:t>
            </w:r>
            <w:r w:rsidRPr="00D11348">
              <w:rPr>
                <w:rFonts w:ascii="Arial" w:eastAsia="Arial" w:hAnsi="Arial" w:cs="Arial"/>
                <w:color w:val="000000" w:themeColor="text1"/>
                <w:sz w:val="22"/>
                <w:szCs w:val="22"/>
              </w:rPr>
              <w:t>there are Article 9 conditions:</w:t>
            </w:r>
          </w:p>
          <w:p w14:paraId="70534516" w14:textId="77777777" w:rsidR="00092B46" w:rsidRPr="00F7211D" w:rsidRDefault="00092B46" w:rsidP="00AF6CA8">
            <w:pPr>
              <w:snapToGrid w:val="0"/>
              <w:rPr>
                <w:rFonts w:ascii="Arial" w:eastAsia="Arial" w:hAnsi="Arial" w:cs="Arial"/>
                <w:i/>
                <w:color w:val="000000" w:themeColor="text1"/>
                <w:sz w:val="22"/>
                <w:szCs w:val="22"/>
              </w:rPr>
            </w:pPr>
          </w:p>
          <w:p w14:paraId="458E5999" w14:textId="77777777" w:rsidR="00092B46" w:rsidRPr="00F7211D" w:rsidRDefault="00092B46" w:rsidP="00AF6CA8">
            <w:pPr>
              <w:snapToGrid w:val="0"/>
              <w:rPr>
                <w:rFonts w:ascii="Arial" w:eastAsia="Arial" w:hAnsi="Arial" w:cs="Arial"/>
                <w:i/>
                <w:color w:val="000000" w:themeColor="text1"/>
                <w:sz w:val="22"/>
                <w:szCs w:val="22"/>
              </w:rPr>
            </w:pPr>
            <w:r w:rsidRPr="00F7211D">
              <w:rPr>
                <w:rFonts w:ascii="Arial" w:eastAsia="Arial" w:hAnsi="Arial" w:cs="Arial"/>
                <w:b/>
                <w:i/>
                <w:color w:val="000000" w:themeColor="text1"/>
                <w:sz w:val="22"/>
                <w:szCs w:val="22"/>
              </w:rPr>
              <w:t>Article 9(2)(h)</w:t>
            </w:r>
            <w:r w:rsidRPr="00F7211D">
              <w:rPr>
                <w:rFonts w:ascii="Arial" w:eastAsia="Arial" w:hAnsi="Arial" w:cs="Arial"/>
                <w:i/>
                <w:color w:val="000000" w:themeColor="text1"/>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1101F1F" w14:textId="77777777" w:rsidR="00092B46" w:rsidRPr="00F7211D" w:rsidRDefault="00092B46" w:rsidP="00AF6CA8">
            <w:pPr>
              <w:snapToGrid w:val="0"/>
              <w:rPr>
                <w:rFonts w:ascii="Arial" w:eastAsia="Arial" w:hAnsi="Arial" w:cs="Arial"/>
                <w:i/>
                <w:color w:val="000000" w:themeColor="text1"/>
                <w:sz w:val="22"/>
                <w:szCs w:val="22"/>
              </w:rPr>
            </w:pPr>
          </w:p>
          <w:p w14:paraId="6286A840" w14:textId="77777777" w:rsidR="00092B46" w:rsidRPr="00F7211D" w:rsidRDefault="00092B46" w:rsidP="00AF6CA8">
            <w:pPr>
              <w:snapToGrid w:val="0"/>
              <w:rPr>
                <w:rFonts w:ascii="Arial" w:hAnsi="Arial" w:cs="Arial"/>
                <w:i/>
                <w:iCs/>
                <w:color w:val="000000" w:themeColor="text1"/>
                <w:sz w:val="22"/>
                <w:szCs w:val="22"/>
              </w:rPr>
            </w:pPr>
            <w:r w:rsidRPr="00F7211D">
              <w:rPr>
                <w:rFonts w:ascii="Arial" w:hAnsi="Arial" w:cs="Arial"/>
                <w:b/>
                <w:bCs/>
                <w:color w:val="000000" w:themeColor="text1"/>
                <w:sz w:val="22"/>
                <w:szCs w:val="22"/>
              </w:rPr>
              <w:t>Article 9(2)(</w:t>
            </w:r>
            <w:proofErr w:type="spellStart"/>
            <w:r w:rsidRPr="00F7211D">
              <w:rPr>
                <w:rFonts w:ascii="Arial" w:hAnsi="Arial" w:cs="Arial"/>
                <w:b/>
                <w:bCs/>
                <w:color w:val="000000" w:themeColor="text1"/>
                <w:sz w:val="22"/>
                <w:szCs w:val="22"/>
              </w:rPr>
              <w:t>i</w:t>
            </w:r>
            <w:proofErr w:type="spellEnd"/>
            <w:r w:rsidRPr="00F7211D">
              <w:rPr>
                <w:rFonts w:ascii="Arial" w:hAnsi="Arial" w:cs="Arial"/>
                <w:b/>
                <w:bCs/>
                <w:color w:val="000000" w:themeColor="text1"/>
                <w:sz w:val="22"/>
                <w:szCs w:val="22"/>
              </w:rPr>
              <w:t>)</w:t>
            </w:r>
            <w:r w:rsidRPr="00F7211D">
              <w:rPr>
                <w:rFonts w:ascii="Arial" w:hAnsi="Arial" w:cs="Arial"/>
                <w:color w:val="000000" w:themeColor="text1"/>
                <w:sz w:val="22"/>
                <w:szCs w:val="22"/>
              </w:rPr>
              <w:t xml:space="preserve"> ‘</w:t>
            </w:r>
            <w:r w:rsidRPr="00F7211D">
              <w:rPr>
                <w:rFonts w:ascii="Arial" w:hAnsi="Arial" w:cs="Arial"/>
                <w:i/>
                <w:iCs/>
                <w:color w:val="000000" w:themeColor="text1"/>
                <w:sz w:val="22"/>
                <w:szCs w:val="22"/>
              </w:rPr>
              <w:t>processing is necessary for reasons of public interest in the area of public health, such as protecting against serious threats to health or ensuring high standards of quality and safety of health care and of medicinal products or medical devices...’</w:t>
            </w:r>
          </w:p>
          <w:p w14:paraId="62F17DBC" w14:textId="77777777" w:rsidR="00092B46" w:rsidRPr="00F7211D" w:rsidRDefault="00092B46" w:rsidP="00AF6CA8">
            <w:pPr>
              <w:snapToGrid w:val="0"/>
              <w:rPr>
                <w:rFonts w:ascii="Arial" w:hAnsi="Arial" w:cs="Arial"/>
                <w:color w:val="000000" w:themeColor="text1"/>
                <w:sz w:val="22"/>
                <w:szCs w:val="22"/>
              </w:rPr>
            </w:pPr>
          </w:p>
          <w:p w14:paraId="65717C79" w14:textId="77777777" w:rsidR="00092B46" w:rsidRPr="00F7211D" w:rsidRDefault="00092B46" w:rsidP="00AF6CA8">
            <w:pPr>
              <w:snapToGrid w:val="0"/>
              <w:rPr>
                <w:rFonts w:ascii="Arial" w:hAnsi="Arial" w:cs="Arial"/>
                <w:i/>
                <w:iCs/>
                <w:color w:val="000000" w:themeColor="text1"/>
                <w:sz w:val="22"/>
                <w:szCs w:val="22"/>
              </w:rPr>
            </w:pPr>
            <w:r w:rsidRPr="00F7211D">
              <w:rPr>
                <w:rFonts w:ascii="Arial" w:hAnsi="Arial" w:cs="Arial"/>
                <w:b/>
                <w:bCs/>
                <w:color w:val="000000" w:themeColor="text1"/>
                <w:sz w:val="22"/>
                <w:szCs w:val="22"/>
              </w:rPr>
              <w:t xml:space="preserve">Article 9(2)(j) </w:t>
            </w:r>
            <w:r w:rsidRPr="00F7211D">
              <w:rPr>
                <w:rFonts w:ascii="Arial" w:hAnsi="Arial" w:cs="Arial"/>
                <w:b/>
                <w:bCs/>
                <w:i/>
                <w:iCs/>
                <w:color w:val="000000" w:themeColor="text1"/>
                <w:sz w:val="22"/>
                <w:szCs w:val="22"/>
              </w:rPr>
              <w:t>‘</w:t>
            </w:r>
            <w:r w:rsidRPr="00F7211D">
              <w:rPr>
                <w:rFonts w:ascii="Arial" w:hAnsi="Arial" w:cs="Arial"/>
                <w:i/>
                <w:iCs/>
                <w:color w:val="000000" w:themeColor="text1"/>
                <w:sz w:val="22"/>
                <w:szCs w:val="22"/>
              </w:rPr>
              <w:t>processing is necessary for archiving purposes in the public interest, scientific or historical research purposes or statistical purposes’</w:t>
            </w:r>
          </w:p>
          <w:p w14:paraId="4DC10C5E" w14:textId="77777777" w:rsidR="00092B46" w:rsidRPr="00F7211D" w:rsidRDefault="00092B46" w:rsidP="00AF6CA8">
            <w:pPr>
              <w:snapToGrid w:val="0"/>
              <w:rPr>
                <w:rFonts w:ascii="Arial" w:hAnsi="Arial" w:cs="Arial"/>
                <w:i/>
                <w:iCs/>
                <w:color w:val="000000" w:themeColor="text1"/>
                <w:sz w:val="22"/>
                <w:szCs w:val="22"/>
              </w:rPr>
            </w:pPr>
          </w:p>
          <w:p w14:paraId="020446E5" w14:textId="77777777" w:rsidR="00092B46" w:rsidRPr="00F7211D" w:rsidRDefault="00092B46" w:rsidP="00AF6CA8">
            <w:pPr>
              <w:snapToGrid w:val="0"/>
              <w:rPr>
                <w:rFonts w:ascii="Arial" w:hAnsi="Arial" w:cs="Arial"/>
                <w:i/>
                <w:iCs/>
                <w:color w:val="000000" w:themeColor="text1"/>
                <w:sz w:val="22"/>
                <w:szCs w:val="22"/>
              </w:rPr>
            </w:pPr>
            <w:r w:rsidRPr="00F7211D">
              <w:rPr>
                <w:rFonts w:ascii="Arial" w:hAnsi="Arial" w:cs="Arial"/>
                <w:color w:val="000000" w:themeColor="text1"/>
                <w:sz w:val="22"/>
                <w:szCs w:val="22"/>
              </w:rPr>
              <w:t xml:space="preserve">Furthermore, the </w:t>
            </w:r>
            <w:r w:rsidRPr="00F7211D">
              <w:rPr>
                <w:rFonts w:ascii="Arial" w:hAnsi="Arial" w:cs="Arial"/>
                <w:b/>
                <w:bCs/>
                <w:color w:val="000000" w:themeColor="text1"/>
                <w:sz w:val="22"/>
                <w:szCs w:val="22"/>
              </w:rPr>
              <w:t>Data Protection Act 2018, Schedule 1: Part 1</w:t>
            </w:r>
            <w:r w:rsidRPr="00F7211D">
              <w:rPr>
                <w:rFonts w:ascii="Arial" w:hAnsi="Arial" w:cs="Arial"/>
                <w:color w:val="000000" w:themeColor="text1"/>
                <w:sz w:val="22"/>
                <w:szCs w:val="22"/>
              </w:rPr>
              <w:t xml:space="preserve"> describes conditions for processing personal data for health, public health, social care and research purposes. </w:t>
            </w:r>
            <w:r w:rsidRPr="00F7211D">
              <w:rPr>
                <w:rFonts w:ascii="Arial" w:hAnsi="Arial" w:cs="Arial"/>
                <w:b/>
                <w:bCs/>
                <w:color w:val="000000" w:themeColor="text1"/>
                <w:sz w:val="22"/>
                <w:szCs w:val="22"/>
              </w:rPr>
              <w:t>Part 2</w:t>
            </w:r>
            <w:r w:rsidRPr="00F7211D">
              <w:rPr>
                <w:rFonts w:ascii="Arial" w:hAnsi="Arial" w:cs="Arial"/>
                <w:color w:val="000000" w:themeColor="text1"/>
                <w:sz w:val="22"/>
                <w:szCs w:val="22"/>
              </w:rPr>
              <w:t xml:space="preserve"> sets out the conditions for processing personal data on the grounds of substantial public interest</w:t>
            </w:r>
          </w:p>
          <w:p w14:paraId="7920835F" w14:textId="77777777" w:rsidR="00092B46" w:rsidRPr="00F7211D" w:rsidRDefault="00092B46" w:rsidP="00AF6CA8">
            <w:pPr>
              <w:snapToGrid w:val="0"/>
              <w:rPr>
                <w:rFonts w:ascii="Arial" w:eastAsia="Arial" w:hAnsi="Arial" w:cs="Arial"/>
                <w:i/>
                <w:color w:val="000000" w:themeColor="text1"/>
                <w:sz w:val="22"/>
                <w:szCs w:val="22"/>
              </w:rPr>
            </w:pPr>
          </w:p>
          <w:p w14:paraId="6F5CDEF4" w14:textId="77777777" w:rsidR="00092B46" w:rsidRPr="00F7211D" w:rsidRDefault="00092B46" w:rsidP="00AF6CA8">
            <w:pPr>
              <w:snapToGrid w:val="0"/>
              <w:rPr>
                <w:rFonts w:ascii="Arial" w:eastAsia="Arial" w:hAnsi="Arial" w:cs="Arial"/>
                <w:color w:val="000000" w:themeColor="text1"/>
                <w:sz w:val="22"/>
                <w:szCs w:val="22"/>
              </w:rPr>
            </w:pPr>
            <w:r w:rsidRPr="00F7211D">
              <w:rPr>
                <w:rFonts w:ascii="Arial" w:eastAsia="Arial" w:hAnsi="Arial" w:cs="Arial"/>
                <w:color w:val="000000" w:themeColor="text1"/>
                <w:sz w:val="22"/>
                <w:szCs w:val="22"/>
              </w:rPr>
              <w:t>Healthcare staff will also respect and comply with their obligations under the common law duty of confidence.</w:t>
            </w:r>
          </w:p>
          <w:p w14:paraId="58E228C1" w14:textId="77777777" w:rsidR="00092B46" w:rsidRPr="00F7211D" w:rsidRDefault="00092B46" w:rsidP="00AF6CA8">
            <w:pPr>
              <w:snapToGrid w:val="0"/>
              <w:rPr>
                <w:rFonts w:ascii="Arial" w:eastAsia="Arial" w:hAnsi="Arial" w:cs="Arial"/>
                <w:color w:val="000000" w:themeColor="text1"/>
                <w:sz w:val="22"/>
                <w:szCs w:val="22"/>
              </w:rPr>
            </w:pPr>
          </w:p>
        </w:tc>
      </w:tr>
      <w:tr w:rsidR="00092B46" w:rsidRPr="000B29C7" w14:paraId="338798E0" w14:textId="77777777" w:rsidTr="00AF6CA8">
        <w:tc>
          <w:tcPr>
            <w:tcW w:w="2127" w:type="dxa"/>
            <w:tcBorders>
              <w:top w:val="single" w:sz="4" w:space="0" w:color="auto"/>
              <w:bottom w:val="single" w:sz="4" w:space="0" w:color="auto"/>
            </w:tcBorders>
          </w:tcPr>
          <w:p w14:paraId="496430E5" w14:textId="77777777" w:rsidR="00092B46" w:rsidRPr="00F7211D" w:rsidRDefault="00092B46" w:rsidP="00AF6CA8">
            <w:pPr>
              <w:snapToGrid w:val="0"/>
              <w:rPr>
                <w:rFonts w:ascii="Arial" w:eastAsia="Arial" w:hAnsi="Arial" w:cs="Arial"/>
                <w:b/>
                <w:color w:val="000000"/>
                <w:sz w:val="22"/>
                <w:szCs w:val="22"/>
              </w:rPr>
            </w:pPr>
            <w:r w:rsidRPr="000B29C7">
              <w:rPr>
                <w:rFonts w:ascii="Arial" w:eastAsia="Arial" w:hAnsi="Arial" w:cs="Arial"/>
                <w:b/>
                <w:color w:val="000000"/>
                <w:sz w:val="22"/>
                <w:szCs w:val="22"/>
              </w:rPr>
              <w:lastRenderedPageBreak/>
              <w:t>Recipient or categories of recipients of the processed data</w:t>
            </w:r>
          </w:p>
          <w:p w14:paraId="23B491BE" w14:textId="77777777" w:rsidR="00092B46" w:rsidRPr="000B29C7" w:rsidRDefault="00092B46" w:rsidP="00AF6CA8">
            <w:pPr>
              <w:snapToGrid w:val="0"/>
              <w:rPr>
                <w:rFonts w:ascii="Arial" w:eastAsia="Arial" w:hAnsi="Arial" w:cs="Arial"/>
                <w:b/>
                <w:color w:val="000000"/>
                <w:sz w:val="22"/>
                <w:szCs w:val="22"/>
              </w:rPr>
            </w:pPr>
          </w:p>
        </w:tc>
        <w:tc>
          <w:tcPr>
            <w:tcW w:w="11808" w:type="dxa"/>
            <w:tcBorders>
              <w:top w:val="single" w:sz="4" w:space="0" w:color="auto"/>
              <w:bottom w:val="single" w:sz="4" w:space="0" w:color="auto"/>
            </w:tcBorders>
          </w:tcPr>
          <w:p w14:paraId="6147E39D" w14:textId="77777777" w:rsidR="00092B46" w:rsidRDefault="00092B46" w:rsidP="00AF6CA8">
            <w:pP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The data will be shared with: </w:t>
            </w:r>
          </w:p>
          <w:p w14:paraId="1DF3E3B7" w14:textId="77777777" w:rsidR="00092B46" w:rsidRDefault="00092B46" w:rsidP="00AF6CA8">
            <w:pPr>
              <w:snapToGrid w:val="0"/>
              <w:rPr>
                <w:rFonts w:ascii="Arial" w:eastAsia="Arial" w:hAnsi="Arial" w:cs="Arial"/>
                <w:color w:val="000000"/>
                <w:sz w:val="22"/>
                <w:szCs w:val="22"/>
              </w:rPr>
            </w:pPr>
          </w:p>
          <w:p w14:paraId="3073A99D" w14:textId="77777777" w:rsidR="00092B46" w:rsidRDefault="00092B46" w:rsidP="00092B46">
            <w:pPr>
              <w:pStyle w:val="ListParagraph"/>
              <w:numPr>
                <w:ilvl w:val="0"/>
                <w:numId w:val="1"/>
              </w:numPr>
              <w:snapToGrid w:val="0"/>
              <w:rPr>
                <w:rFonts w:ascii="Arial" w:eastAsia="Arial" w:hAnsi="Arial" w:cs="Arial"/>
                <w:color w:val="000000"/>
                <w:sz w:val="22"/>
                <w:szCs w:val="22"/>
              </w:rPr>
            </w:pPr>
            <w:r w:rsidRPr="00132F52">
              <w:rPr>
                <w:rFonts w:ascii="Arial" w:eastAsia="Arial" w:hAnsi="Arial" w:cs="Arial"/>
                <w:color w:val="000000"/>
                <w:sz w:val="22"/>
                <w:szCs w:val="22"/>
              </w:rPr>
              <w:t xml:space="preserve">AI specialised data centre as detailed within the Data Protection Impact Assessment (DPIA) </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AccuRx</w:t>
            </w:r>
            <w:proofErr w:type="spellEnd"/>
            <w:r>
              <w:rPr>
                <w:rFonts w:ascii="Arial" w:eastAsia="Arial" w:hAnsi="Arial" w:cs="Arial"/>
                <w:color w:val="000000"/>
                <w:sz w:val="22"/>
                <w:szCs w:val="22"/>
              </w:rPr>
              <w:t xml:space="preserve"> Scribe</w:t>
            </w:r>
          </w:p>
          <w:p w14:paraId="603EC679" w14:textId="77777777" w:rsidR="00092B46" w:rsidRPr="00132F52" w:rsidRDefault="00092B46" w:rsidP="00092B46">
            <w:pPr>
              <w:pStyle w:val="ListParagraph"/>
              <w:numPr>
                <w:ilvl w:val="0"/>
                <w:numId w:val="1"/>
              </w:numPr>
              <w:snapToGrid w:val="0"/>
              <w:rPr>
                <w:rFonts w:ascii="Arial" w:eastAsia="Arial" w:hAnsi="Arial" w:cs="Arial"/>
                <w:color w:val="000000"/>
                <w:sz w:val="22"/>
                <w:szCs w:val="22"/>
              </w:rPr>
            </w:pPr>
            <w:r w:rsidRPr="00132F52">
              <w:rPr>
                <w:rFonts w:ascii="Arial" w:eastAsia="Arial" w:hAnsi="Arial" w:cs="Arial"/>
                <w:color w:val="000000"/>
                <w:sz w:val="22"/>
                <w:szCs w:val="22"/>
              </w:rPr>
              <w:t xml:space="preserve">Healthcare professionals and staff at this organisation </w:t>
            </w:r>
          </w:p>
          <w:p w14:paraId="6350F303" w14:textId="77777777" w:rsidR="00092B46" w:rsidRPr="000B29C7" w:rsidRDefault="00092B46" w:rsidP="00092B46">
            <w:pPr>
              <w:pStyle w:val="ListParagraph"/>
              <w:numPr>
                <w:ilvl w:val="0"/>
                <w:numId w:val="1"/>
              </w:numPr>
              <w:snapToGrid w:val="0"/>
              <w:rPr>
                <w:rFonts w:ascii="Arial" w:eastAsia="Arial" w:hAnsi="Arial" w:cs="Arial"/>
                <w:sz w:val="22"/>
                <w:szCs w:val="22"/>
              </w:rPr>
            </w:pPr>
          </w:p>
        </w:tc>
      </w:tr>
      <w:tr w:rsidR="00092B46" w:rsidRPr="000B29C7" w14:paraId="1D8DB4E3" w14:textId="77777777" w:rsidTr="00AF6CA8">
        <w:tc>
          <w:tcPr>
            <w:tcW w:w="2127" w:type="dxa"/>
          </w:tcPr>
          <w:p w14:paraId="74009A98" w14:textId="77777777" w:rsidR="00092B46" w:rsidRPr="00F7211D" w:rsidRDefault="00092B46" w:rsidP="00AF6CA8">
            <w:pPr>
              <w:snapToGrid w:val="0"/>
              <w:rPr>
                <w:rFonts w:ascii="Arial" w:eastAsia="Arial" w:hAnsi="Arial" w:cs="Arial"/>
                <w:b/>
                <w:color w:val="000000"/>
                <w:sz w:val="22"/>
                <w:szCs w:val="22"/>
              </w:rPr>
            </w:pPr>
            <w:r w:rsidRPr="00F7211D">
              <w:rPr>
                <w:rFonts w:ascii="Arial" w:eastAsia="Arial" w:hAnsi="Arial" w:cs="Arial"/>
                <w:b/>
                <w:color w:val="000000"/>
                <w:sz w:val="22"/>
                <w:szCs w:val="22"/>
              </w:rPr>
              <w:t>Right to access and correct</w:t>
            </w:r>
          </w:p>
        </w:tc>
        <w:tc>
          <w:tcPr>
            <w:tcW w:w="11808" w:type="dxa"/>
          </w:tcPr>
          <w:p w14:paraId="5637B586"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You have the right to access your medical record and have any errors or mistakes corrected. Please speak to a member of staff or look at our Access to Medical Records Policy.</w:t>
            </w:r>
          </w:p>
          <w:p w14:paraId="323BBCB5"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p>
          <w:p w14:paraId="38C33C3A" w14:textId="77777777" w:rsidR="00092B46" w:rsidRPr="000B29C7" w:rsidRDefault="00092B46" w:rsidP="00AF6CA8">
            <w:pPr>
              <w:snapToGrid w:val="0"/>
              <w:rPr>
                <w:rFonts w:ascii="Arial" w:eastAsia="Arial" w:hAnsi="Arial" w:cs="Arial"/>
                <w:color w:val="000000"/>
                <w:sz w:val="22"/>
                <w:szCs w:val="22"/>
              </w:rPr>
            </w:pPr>
            <w:r w:rsidRPr="000B29C7">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4EA5A0F" w14:textId="77777777" w:rsidR="00092B46" w:rsidRPr="000B29C7" w:rsidRDefault="00092B46" w:rsidP="00AF6CA8">
            <w:pPr>
              <w:snapToGrid w:val="0"/>
              <w:rPr>
                <w:rFonts w:ascii="Arial" w:eastAsia="Arial" w:hAnsi="Arial" w:cs="Arial"/>
                <w:color w:val="000000"/>
                <w:sz w:val="22"/>
                <w:szCs w:val="22"/>
              </w:rPr>
            </w:pPr>
          </w:p>
        </w:tc>
      </w:tr>
      <w:tr w:rsidR="00092B46" w:rsidRPr="000B29C7" w14:paraId="5CA0576B" w14:textId="77777777" w:rsidTr="00AF6CA8">
        <w:trPr>
          <w:trHeight w:val="760"/>
        </w:trPr>
        <w:tc>
          <w:tcPr>
            <w:tcW w:w="2127" w:type="dxa"/>
          </w:tcPr>
          <w:p w14:paraId="60612E39" w14:textId="77777777" w:rsidR="00092B46" w:rsidRPr="000B29C7" w:rsidRDefault="00092B46" w:rsidP="00AF6CA8">
            <w:pPr>
              <w:snapToGrid w:val="0"/>
              <w:rPr>
                <w:rFonts w:ascii="Arial" w:eastAsia="Arial" w:hAnsi="Arial" w:cs="Arial"/>
                <w:b/>
                <w:color w:val="000000"/>
                <w:sz w:val="22"/>
                <w:szCs w:val="22"/>
              </w:rPr>
            </w:pPr>
            <w:r w:rsidRPr="000B29C7">
              <w:rPr>
                <w:rFonts w:ascii="Arial" w:eastAsia="Arial" w:hAnsi="Arial" w:cs="Arial"/>
                <w:b/>
                <w:color w:val="000000"/>
                <w:sz w:val="22"/>
                <w:szCs w:val="22"/>
              </w:rPr>
              <w:t>Retention period</w:t>
            </w:r>
          </w:p>
        </w:tc>
        <w:tc>
          <w:tcPr>
            <w:tcW w:w="11808" w:type="dxa"/>
          </w:tcPr>
          <w:p w14:paraId="0B371EAC" w14:textId="77777777" w:rsidR="00092B46" w:rsidRPr="000B29C7" w:rsidRDefault="00092B46" w:rsidP="00AF6CA8">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Records will be kept in line with the law and national guidance. Information on how long records are kept can be found in the </w:t>
            </w:r>
            <w:hyperlink r:id="rId7">
              <w:r w:rsidRPr="000B29C7">
                <w:rPr>
                  <w:rFonts w:ascii="Arial" w:eastAsia="Arial" w:hAnsi="Arial" w:cs="Arial"/>
                  <w:color w:val="0563C1"/>
                  <w:sz w:val="22"/>
                  <w:szCs w:val="22"/>
                  <w:u w:val="single"/>
                </w:rPr>
                <w:t>Records Management Code of Practice</w:t>
              </w:r>
            </w:hyperlink>
            <w:r w:rsidRPr="000B29C7">
              <w:rPr>
                <w:rFonts w:ascii="Arial" w:eastAsia="Arial" w:hAnsi="Arial" w:cs="Arial"/>
                <w:color w:val="000000"/>
                <w:sz w:val="22"/>
                <w:szCs w:val="22"/>
              </w:rPr>
              <w:t xml:space="preserve">.  </w:t>
            </w:r>
          </w:p>
        </w:tc>
      </w:tr>
      <w:tr w:rsidR="00092B46" w:rsidRPr="000B29C7" w14:paraId="64B9F55A" w14:textId="77777777" w:rsidTr="00AF6CA8">
        <w:tc>
          <w:tcPr>
            <w:tcW w:w="2127" w:type="dxa"/>
            <w:tcBorders>
              <w:bottom w:val="single" w:sz="4" w:space="0" w:color="000000"/>
            </w:tcBorders>
          </w:tcPr>
          <w:p w14:paraId="0E4680C9" w14:textId="77777777" w:rsidR="00092B46" w:rsidRPr="000B29C7" w:rsidRDefault="00092B46" w:rsidP="00AF6CA8">
            <w:pPr>
              <w:snapToGrid w:val="0"/>
              <w:rPr>
                <w:rFonts w:ascii="Arial" w:eastAsia="Arial" w:hAnsi="Arial" w:cs="Arial"/>
                <w:b/>
                <w:color w:val="000000"/>
                <w:sz w:val="22"/>
                <w:szCs w:val="22"/>
              </w:rPr>
            </w:pPr>
            <w:r w:rsidRPr="000B29C7">
              <w:rPr>
                <w:rFonts w:ascii="Arial" w:eastAsia="Arial" w:hAnsi="Arial" w:cs="Arial"/>
                <w:b/>
                <w:color w:val="000000"/>
                <w:sz w:val="22"/>
                <w:szCs w:val="22"/>
              </w:rPr>
              <w:t>Right to complain</w:t>
            </w:r>
          </w:p>
          <w:p w14:paraId="41C75B7D" w14:textId="77777777" w:rsidR="00092B46" w:rsidRPr="000B29C7" w:rsidRDefault="00092B46" w:rsidP="00AF6CA8">
            <w:pPr>
              <w:snapToGrid w:val="0"/>
              <w:rPr>
                <w:rFonts w:ascii="Arial" w:eastAsia="Arial" w:hAnsi="Arial" w:cs="Arial"/>
                <w:b/>
                <w:color w:val="000000"/>
                <w:sz w:val="22"/>
                <w:szCs w:val="22"/>
              </w:rPr>
            </w:pPr>
          </w:p>
        </w:tc>
        <w:tc>
          <w:tcPr>
            <w:tcW w:w="11808" w:type="dxa"/>
            <w:tcBorders>
              <w:bottom w:val="single" w:sz="4" w:space="0" w:color="000000"/>
            </w:tcBorders>
          </w:tcPr>
          <w:p w14:paraId="5BFEB878" w14:textId="511F0D85" w:rsidR="00092B46" w:rsidRPr="000B29C7" w:rsidRDefault="00092B46" w:rsidP="00AF6CA8">
            <w:pPr>
              <w:snapToGrid w:val="0"/>
              <w:rPr>
                <w:rFonts w:ascii="Arial" w:hAnsi="Arial" w:cs="Arial"/>
                <w:sz w:val="22"/>
                <w:szCs w:val="22"/>
              </w:rPr>
            </w:pPr>
            <w:r w:rsidRPr="000B29C7">
              <w:rPr>
                <w:rFonts w:ascii="Arial" w:hAnsi="Arial" w:cs="Arial"/>
                <w:sz w:val="22"/>
                <w:szCs w:val="22"/>
              </w:rPr>
              <w:t>In the unlikely event that you are unhappy with any element of our data-processing methods, do please contact the Practice Manager in the first instance. If you feel that we have not addressed your concern appropriately, you have the right to lodge a complaint with the Information Commissioner’s Office (ICO).</w:t>
            </w:r>
          </w:p>
          <w:p w14:paraId="1904B5AA" w14:textId="3014BDCA" w:rsidR="00092B46" w:rsidRPr="000B29C7" w:rsidRDefault="00092B46" w:rsidP="00092B46">
            <w:pPr>
              <w:snapToGrid w:val="0"/>
              <w:rPr>
                <w:rFonts w:ascii="Arial" w:hAnsi="Arial" w:cs="Arial"/>
                <w:bCs/>
                <w:color w:val="215868" w:themeColor="accent5" w:themeShade="80"/>
                <w:sz w:val="22"/>
                <w:szCs w:val="22"/>
              </w:rPr>
            </w:pPr>
            <w:r w:rsidRPr="000B29C7">
              <w:rPr>
                <w:rFonts w:ascii="Arial" w:hAnsi="Arial" w:cs="Arial"/>
                <w:sz w:val="22"/>
                <w:szCs w:val="22"/>
              </w:rPr>
              <w:t xml:space="preserve">Further details, visit </w:t>
            </w:r>
            <w:hyperlink r:id="rId8" w:history="1">
              <w:r w:rsidRPr="000B29C7">
                <w:rPr>
                  <w:rStyle w:val="Hyperlink"/>
                  <w:rFonts w:ascii="Arial" w:hAnsi="Arial" w:cs="Arial"/>
                  <w:sz w:val="22"/>
                  <w:szCs w:val="22"/>
                </w:rPr>
                <w:t>https://ico.org.uk/for-the-public/</w:t>
              </w:r>
            </w:hyperlink>
            <w:r w:rsidRPr="000B29C7">
              <w:rPr>
                <w:rFonts w:ascii="Arial" w:hAnsi="Arial" w:cs="Arial"/>
                <w:color w:val="215868" w:themeColor="accent5" w:themeShade="80"/>
                <w:sz w:val="22"/>
                <w:szCs w:val="22"/>
              </w:rPr>
              <w:t xml:space="preserve"> </w:t>
            </w:r>
            <w:r w:rsidRPr="000B29C7">
              <w:rPr>
                <w:rFonts w:ascii="Arial" w:hAnsi="Arial" w:cs="Arial"/>
                <w:sz w:val="22"/>
                <w:szCs w:val="22"/>
              </w:rPr>
              <w:t>and select “Make a complaint” or telephone: 0303 123 1113.</w:t>
            </w:r>
          </w:p>
        </w:tc>
      </w:tr>
    </w:tbl>
    <w:p w14:paraId="75A971A6" w14:textId="77777777" w:rsidR="00092B46" w:rsidRDefault="00092B46"/>
    <w:sectPr w:rsidR="00092B46" w:rsidSect="00092B46">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6E3E" w14:textId="77777777" w:rsidR="00B42BD3" w:rsidRDefault="00B42BD3" w:rsidP="00092B46">
      <w:r>
        <w:separator/>
      </w:r>
    </w:p>
  </w:endnote>
  <w:endnote w:type="continuationSeparator" w:id="0">
    <w:p w14:paraId="09469711" w14:textId="77777777" w:rsidR="00B42BD3" w:rsidRDefault="00B42BD3" w:rsidP="0009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4490" w14:textId="3F820A81" w:rsidR="00092B46" w:rsidRPr="00092B46" w:rsidRDefault="00092B46" w:rsidP="00092B46">
    <w:pPr>
      <w:pStyle w:val="Footer"/>
      <w:tabs>
        <w:tab w:val="clear" w:pos="4513"/>
        <w:tab w:val="clear" w:pos="9026"/>
        <w:tab w:val="left" w:pos="2115"/>
      </w:tabs>
      <w:jc w:val="right"/>
      <w:rPr>
        <w:rFonts w:asciiTheme="minorHAnsi" w:hAnsiTheme="minorHAnsi" w:cstheme="minorHAnsi"/>
      </w:rPr>
    </w:pPr>
    <w:r w:rsidRPr="00092B46">
      <w:rPr>
        <w:rFonts w:asciiTheme="minorHAnsi" w:hAnsiTheme="minorHAnsi" w:cstheme="minorHAnsi"/>
      </w:rPr>
      <w:t>Updated September 2025</w:t>
    </w:r>
    <w:r w:rsidRPr="00092B46">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4D0F" w14:textId="77777777" w:rsidR="00B42BD3" w:rsidRDefault="00B42BD3" w:rsidP="00092B46">
      <w:r>
        <w:separator/>
      </w:r>
    </w:p>
  </w:footnote>
  <w:footnote w:type="continuationSeparator" w:id="0">
    <w:p w14:paraId="4C8BE2B5" w14:textId="77777777" w:rsidR="00B42BD3" w:rsidRDefault="00B42BD3" w:rsidP="0009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0991" w14:textId="743F5B64" w:rsidR="00092B46" w:rsidRDefault="00092B46" w:rsidP="00092B46">
    <w:pPr>
      <w:pStyle w:val="Header"/>
      <w:jc w:val="center"/>
    </w:pPr>
    <w:r>
      <w:rPr>
        <w:noProof/>
      </w:rPr>
      <w:drawing>
        <wp:inline distT="0" distB="0" distL="0" distR="0" wp14:anchorId="37313A6C" wp14:editId="3FB5527A">
          <wp:extent cx="1524000" cy="781050"/>
          <wp:effectExtent l="0" t="0" r="0" b="0"/>
          <wp:docPr id="1545236295" name="Picture 1"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36295" name="Picture 1" descr="A logo of a hous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EB4"/>
    <w:multiLevelType w:val="hybridMultilevel"/>
    <w:tmpl w:val="CC4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22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46"/>
    <w:rsid w:val="00086E39"/>
    <w:rsid w:val="00092B46"/>
    <w:rsid w:val="0012677D"/>
    <w:rsid w:val="002F4064"/>
    <w:rsid w:val="007339ED"/>
    <w:rsid w:val="009F5B50"/>
    <w:rsid w:val="00B42BD3"/>
    <w:rsid w:val="00CE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19C6"/>
  <w15:chartTrackingRefBased/>
  <w15:docId w15:val="{5E0B6E81-646C-4EA1-BC5A-B7546198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4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92B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2B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2B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2B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2B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2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B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2B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2B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2B4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2B4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B46"/>
    <w:rPr>
      <w:rFonts w:eastAsiaTheme="majorEastAsia" w:cstheme="majorBidi"/>
      <w:color w:val="272727" w:themeColor="text1" w:themeTint="D8"/>
    </w:rPr>
  </w:style>
  <w:style w:type="paragraph" w:styleId="Title">
    <w:name w:val="Title"/>
    <w:basedOn w:val="Normal"/>
    <w:next w:val="Normal"/>
    <w:link w:val="TitleChar"/>
    <w:uiPriority w:val="10"/>
    <w:qFormat/>
    <w:rsid w:val="00092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B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B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B46"/>
    <w:rPr>
      <w:i/>
      <w:iCs/>
      <w:color w:val="404040" w:themeColor="text1" w:themeTint="BF"/>
    </w:rPr>
  </w:style>
  <w:style w:type="paragraph" w:styleId="ListParagraph">
    <w:name w:val="List Paragraph"/>
    <w:basedOn w:val="Normal"/>
    <w:link w:val="ListParagraphChar"/>
    <w:uiPriority w:val="34"/>
    <w:qFormat/>
    <w:rsid w:val="00092B46"/>
    <w:pPr>
      <w:ind w:left="720"/>
      <w:contextualSpacing/>
    </w:pPr>
  </w:style>
  <w:style w:type="character" w:styleId="IntenseEmphasis">
    <w:name w:val="Intense Emphasis"/>
    <w:basedOn w:val="DefaultParagraphFont"/>
    <w:uiPriority w:val="21"/>
    <w:qFormat/>
    <w:rsid w:val="00092B46"/>
    <w:rPr>
      <w:i/>
      <w:iCs/>
      <w:color w:val="365F91" w:themeColor="accent1" w:themeShade="BF"/>
    </w:rPr>
  </w:style>
  <w:style w:type="paragraph" w:styleId="IntenseQuote">
    <w:name w:val="Intense Quote"/>
    <w:basedOn w:val="Normal"/>
    <w:next w:val="Normal"/>
    <w:link w:val="IntenseQuoteChar"/>
    <w:uiPriority w:val="30"/>
    <w:qFormat/>
    <w:rsid w:val="00092B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2B46"/>
    <w:rPr>
      <w:i/>
      <w:iCs/>
      <w:color w:val="365F91" w:themeColor="accent1" w:themeShade="BF"/>
    </w:rPr>
  </w:style>
  <w:style w:type="character" w:styleId="IntenseReference">
    <w:name w:val="Intense Reference"/>
    <w:basedOn w:val="DefaultParagraphFont"/>
    <w:uiPriority w:val="32"/>
    <w:qFormat/>
    <w:rsid w:val="00092B46"/>
    <w:rPr>
      <w:b/>
      <w:bCs/>
      <w:smallCaps/>
      <w:color w:val="365F91" w:themeColor="accent1" w:themeShade="BF"/>
      <w:spacing w:val="5"/>
    </w:rPr>
  </w:style>
  <w:style w:type="character" w:styleId="Hyperlink">
    <w:name w:val="Hyperlink"/>
    <w:basedOn w:val="DefaultParagraphFont"/>
    <w:uiPriority w:val="99"/>
    <w:unhideWhenUsed/>
    <w:rsid w:val="00092B46"/>
    <w:rPr>
      <w:color w:val="0000FF" w:themeColor="hyperlink"/>
      <w:u w:val="single"/>
    </w:rPr>
  </w:style>
  <w:style w:type="paragraph" w:styleId="NormalWeb">
    <w:name w:val="Normal (Web)"/>
    <w:basedOn w:val="Normal"/>
    <w:uiPriority w:val="99"/>
    <w:unhideWhenUsed/>
    <w:qFormat/>
    <w:rsid w:val="00092B46"/>
    <w:pPr>
      <w:spacing w:before="100" w:beforeAutospacing="1" w:after="100" w:afterAutospacing="1"/>
    </w:pPr>
  </w:style>
  <w:style w:type="character" w:customStyle="1" w:styleId="ListParagraphChar">
    <w:name w:val="List Paragraph Char"/>
    <w:basedOn w:val="DefaultParagraphFont"/>
    <w:link w:val="ListParagraph"/>
    <w:uiPriority w:val="34"/>
    <w:rsid w:val="00092B46"/>
  </w:style>
  <w:style w:type="paragraph" w:styleId="Header">
    <w:name w:val="header"/>
    <w:basedOn w:val="Normal"/>
    <w:link w:val="HeaderChar"/>
    <w:uiPriority w:val="99"/>
    <w:unhideWhenUsed/>
    <w:rsid w:val="00092B46"/>
    <w:pPr>
      <w:tabs>
        <w:tab w:val="center" w:pos="4513"/>
        <w:tab w:val="right" w:pos="9026"/>
      </w:tabs>
    </w:pPr>
  </w:style>
  <w:style w:type="character" w:customStyle="1" w:styleId="HeaderChar">
    <w:name w:val="Header Char"/>
    <w:basedOn w:val="DefaultParagraphFont"/>
    <w:link w:val="Header"/>
    <w:uiPriority w:val="99"/>
    <w:rsid w:val="00092B46"/>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92B46"/>
    <w:pPr>
      <w:tabs>
        <w:tab w:val="center" w:pos="4513"/>
        <w:tab w:val="right" w:pos="9026"/>
      </w:tabs>
    </w:pPr>
  </w:style>
  <w:style w:type="character" w:customStyle="1" w:styleId="FooterChar">
    <w:name w:val="Footer Char"/>
    <w:basedOn w:val="DefaultParagraphFont"/>
    <w:link w:val="Footer"/>
    <w:uiPriority w:val="99"/>
    <w:rsid w:val="00092B46"/>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da6439c5-dc1e-42a0-bcaa-12bedd66864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3618</Characters>
  <Application>Microsoft Office Word</Application>
  <DocSecurity>0</DocSecurity>
  <Lines>30</Lines>
  <Paragraphs>8</Paragraphs>
  <ScaleCrop>false</ScaleCrop>
  <Company>NHS England</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Claudine (CROWN HEIGHTS MEDICAL CENTRE)</dc:creator>
  <cp:keywords/>
  <dc:description/>
  <cp:lastModifiedBy>LYONS, Claudine (CROWN HEIGHTS MEDICAL CENTRE)</cp:lastModifiedBy>
  <cp:revision>2</cp:revision>
  <dcterms:created xsi:type="dcterms:W3CDTF">2025-09-17T15:22:00Z</dcterms:created>
  <dcterms:modified xsi:type="dcterms:W3CDTF">2025-09-17T15:22:00Z</dcterms:modified>
</cp:coreProperties>
</file>